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Понятие обычая в гражданском законодательстве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Согласно статье 5 Гражданского кодекса Российской Федерации                                 (часть первая), обычаем признается сложившееся и широко применяемое                                 в какой-либо области предпринимательской или иной деятельности, не предусмотренное законодательством правило поведения, независимо от того, зафиксировано ли оно в каком-либо документе.</w:t>
      </w:r>
    </w:p>
    <w:p w14:paraId="06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Обычаи, противоречащие обязательным для участников соответствующего отношения положениям законодательства или договору, не применяются.</w:t>
      </w:r>
    </w:p>
    <w:p w14:paraId="07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постановлении Пленума Верховного Суда Российской Федерации от 23.06.2015 № 25 «О применении судами некоторых положений раздела I части первой Гражданского кодекса Российской Федерации» определено, что под обычаем, который в силу</w:t>
      </w:r>
      <w:r>
        <w:rPr>
          <w:sz w:val="28"/>
        </w:rPr>
        <w:t xml:space="preserve"> статьи</w:t>
      </w:r>
      <w:r>
        <w:rPr>
          <w:sz w:val="28"/>
        </w:rPr>
        <w:t xml:space="preserve"> 5 Гражданского кодекса Российской Федерации (часть первая) может быть применен судом при разрешении гражданско-правового спора, следует понимать не предусмотренное законодательством, но сложившееся, то есть достаточно определенное в своем содержании, широко применяемое правило поведения при установлении и осуществлении гражданских прав и исполнении гражданских обязанностей не только в предпринимательской, но и иной деятельности, например, определение гражданами порядка пользования общим имуществом, испо</w:t>
      </w:r>
      <w:r>
        <w:rPr>
          <w:sz w:val="28"/>
        </w:rPr>
        <w:t>лнение тех или иных обязательств.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8000000">
      <w:pPr>
        <w:widowControl w:val="1"/>
        <w:spacing w:line="240" w:lineRule="exact"/>
        <w:ind/>
        <w:jc w:val="both"/>
        <w:rPr>
          <w:sz w:val="28"/>
        </w:rPr>
      </w:pPr>
    </w:p>
    <w:p w14:paraId="09000000">
      <w:pPr>
        <w:widowControl w:val="1"/>
        <w:spacing w:line="240" w:lineRule="exact"/>
        <w:ind/>
        <w:jc w:val="both"/>
        <w:rPr>
          <w:sz w:val="28"/>
        </w:rPr>
      </w:pPr>
    </w:p>
    <w:p w14:paraId="0A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</w:t>
      </w:r>
      <w:r>
        <w:rPr>
          <w:sz w:val="28"/>
        </w:rPr>
        <w:t xml:space="preserve"> района                                                       М.В. Сорокоумова</w:t>
      </w: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7" w:type="paragraph">
    <w:name w:val="ConsPlusNormal"/>
    <w:link w:val="Style_7_ch"/>
    <w:pPr>
      <w:widowControl w:val="1"/>
      <w:ind w:firstLine="720"/>
    </w:pPr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apple-converted-space"/>
    <w:basedOn w:val="Style_20"/>
    <w:link w:val="Style_19_ch"/>
  </w:style>
  <w:style w:styleId="Style_19_ch" w:type="character">
    <w:name w:val="apple-converted-space"/>
    <w:basedOn w:val="Style_20_ch"/>
    <w:link w:val="Style_19"/>
  </w:style>
  <w:style w:styleId="Style_21" w:type="paragraph">
    <w:name w:val="Body Text Indent"/>
    <w:basedOn w:val="Style_2"/>
    <w:link w:val="Style_21_ch"/>
    <w:pPr>
      <w:widowControl w:val="1"/>
      <w:spacing w:after="120"/>
      <w:ind w:left="283"/>
    </w:pPr>
    <w:rPr>
      <w:sz w:val="20"/>
    </w:rPr>
  </w:style>
  <w:style w:styleId="Style_21_ch" w:type="character">
    <w:name w:val="Body Text Indent"/>
    <w:basedOn w:val="Style_2_ch"/>
    <w:link w:val="Style_21"/>
    <w:rPr>
      <w:sz w:val="20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Normal (Web)"/>
    <w:basedOn w:val="Style_2"/>
    <w:link w:val="Style_28_ch"/>
    <w:pPr>
      <w:widowControl w:val="1"/>
      <w:spacing w:afterAutospacing="on" w:beforeAutospacing="on"/>
      <w:ind/>
    </w:pPr>
  </w:style>
  <w:style w:styleId="Style_28_ch" w:type="character">
    <w:name w:val="Normal (Web)"/>
    <w:basedOn w:val="Style_2_ch"/>
    <w:link w:val="Style_28"/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2026-03-27T13:25:57Z</dcterms:created>
  <dcterms:modified xsi:type="dcterms:W3CDTF">2026-04-09T07:36:02Z</dcterms:modified>
</cp:coreProperties>
</file>